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BC4" w:rsidRPr="00AF4D61" w:rsidRDefault="00A32BC4" w:rsidP="00A32BC4">
      <w:pPr>
        <w:autoSpaceDE w:val="0"/>
        <w:autoSpaceDN w:val="0"/>
        <w:adjustRightInd w:val="0"/>
        <w:spacing w:after="0" w:line="240" w:lineRule="auto"/>
        <w:jc w:val="both"/>
        <w:rPr>
          <w:rFonts w:asciiTheme="majorHAnsi" w:hAnsiTheme="majorHAnsi" w:cs="AdvOT863180fb"/>
          <w:b/>
          <w:sz w:val="22"/>
        </w:rPr>
      </w:pPr>
      <w:r w:rsidRPr="00AF4D61">
        <w:rPr>
          <w:rFonts w:asciiTheme="majorHAnsi" w:hAnsiTheme="majorHAnsi" w:cs="AdvOT863180fb"/>
          <w:b/>
          <w:sz w:val="22"/>
        </w:rPr>
        <w:t>Facts about Glyphosate in the terrestrial environment</w:t>
      </w:r>
      <w:r w:rsidR="00666FA4">
        <w:rPr>
          <w:rFonts w:asciiTheme="majorHAnsi" w:hAnsiTheme="majorHAnsi" w:cs="AdvOT863180fb"/>
          <w:b/>
          <w:sz w:val="22"/>
        </w:rPr>
        <w:t xml:space="preserve"> - by </w:t>
      </w:r>
      <w:r w:rsidR="004C77B7" w:rsidRPr="004C77B7">
        <w:rPr>
          <w:rFonts w:asciiTheme="majorHAnsi" w:hAnsiTheme="majorHAnsi"/>
          <w:b/>
          <w:sz w:val="20"/>
          <w:szCs w:val="20"/>
          <w:shd w:val="clear" w:color="auto" w:fill="FFFFFF"/>
        </w:rPr>
        <w:t xml:space="preserve">Violette </w:t>
      </w:r>
      <w:proofErr w:type="spellStart"/>
      <w:r w:rsidR="004C77B7" w:rsidRPr="004C77B7">
        <w:rPr>
          <w:rFonts w:asciiTheme="majorHAnsi" w:hAnsiTheme="majorHAnsi"/>
          <w:b/>
          <w:sz w:val="20"/>
          <w:szCs w:val="20"/>
          <w:shd w:val="clear" w:color="auto" w:fill="FFFFFF"/>
        </w:rPr>
        <w:t>Geissen</w:t>
      </w:r>
      <w:proofErr w:type="spellEnd"/>
      <w:r w:rsidR="00666FA4">
        <w:rPr>
          <w:rStyle w:val="FootnoteReference"/>
          <w:rFonts w:asciiTheme="majorHAnsi" w:hAnsiTheme="majorHAnsi" w:cs="AdvOT863180fb"/>
          <w:b/>
          <w:sz w:val="22"/>
        </w:rPr>
        <w:footnoteReference w:id="1"/>
      </w:r>
    </w:p>
    <w:p w:rsidR="00A32BC4" w:rsidRPr="0040625D" w:rsidRDefault="00A32BC4" w:rsidP="00A32BC4">
      <w:pPr>
        <w:autoSpaceDE w:val="0"/>
        <w:autoSpaceDN w:val="0"/>
        <w:adjustRightInd w:val="0"/>
        <w:spacing w:after="0" w:line="240" w:lineRule="auto"/>
        <w:jc w:val="both"/>
        <w:rPr>
          <w:rFonts w:ascii="AdvOT863180fb" w:hAnsi="AdvOT863180fb" w:cs="AdvOT863180fb"/>
          <w:sz w:val="22"/>
        </w:rPr>
      </w:pPr>
    </w:p>
    <w:p w:rsidR="00A32BC4" w:rsidRPr="0040625D" w:rsidRDefault="00A32BC4" w:rsidP="00466F55">
      <w:pPr>
        <w:pStyle w:val="ListParagraph"/>
        <w:numPr>
          <w:ilvl w:val="0"/>
          <w:numId w:val="1"/>
        </w:numPr>
        <w:autoSpaceDE w:val="0"/>
        <w:autoSpaceDN w:val="0"/>
        <w:adjustRightInd w:val="0"/>
        <w:spacing w:after="0" w:line="240" w:lineRule="auto"/>
        <w:jc w:val="both"/>
        <w:rPr>
          <w:rFonts w:asciiTheme="majorHAnsi" w:hAnsiTheme="majorHAnsi" w:cs="AdvOT863180fb"/>
          <w:b/>
          <w:sz w:val="22"/>
        </w:rPr>
      </w:pPr>
      <w:r w:rsidRPr="0040625D">
        <w:rPr>
          <w:rFonts w:asciiTheme="majorHAnsi" w:hAnsiTheme="majorHAnsi" w:cs="AdvOT863180fb"/>
          <w:b/>
          <w:sz w:val="22"/>
        </w:rPr>
        <w:t>Occurrence of Glyphosate and its main metaboli</w:t>
      </w:r>
      <w:r w:rsidR="002D41DD" w:rsidRPr="0040625D">
        <w:rPr>
          <w:rFonts w:asciiTheme="majorHAnsi" w:hAnsiTheme="majorHAnsi" w:cs="AdvOT863180fb"/>
          <w:b/>
          <w:sz w:val="22"/>
        </w:rPr>
        <w:t>te AMPA in soils</w:t>
      </w:r>
    </w:p>
    <w:p w:rsidR="00A32BC4" w:rsidRPr="0040625D" w:rsidRDefault="00A32BC4" w:rsidP="00A32BC4">
      <w:pPr>
        <w:autoSpaceDE w:val="0"/>
        <w:autoSpaceDN w:val="0"/>
        <w:adjustRightInd w:val="0"/>
        <w:spacing w:after="0" w:line="240" w:lineRule="auto"/>
        <w:jc w:val="both"/>
        <w:rPr>
          <w:rFonts w:asciiTheme="majorHAnsi" w:hAnsiTheme="majorHAnsi" w:cs="AdvOT863180fb"/>
          <w:b/>
          <w:sz w:val="22"/>
        </w:rPr>
      </w:pPr>
    </w:p>
    <w:p w:rsidR="002D41DD" w:rsidRPr="0040625D" w:rsidRDefault="002D41DD" w:rsidP="00A93F5C">
      <w:pPr>
        <w:autoSpaceDE w:val="0"/>
        <w:autoSpaceDN w:val="0"/>
        <w:adjustRightInd w:val="0"/>
        <w:spacing w:after="120" w:line="240" w:lineRule="auto"/>
        <w:jc w:val="both"/>
        <w:rPr>
          <w:rFonts w:asciiTheme="majorHAnsi" w:hAnsiTheme="majorHAnsi" w:cs="AdvOT863180fb"/>
          <w:sz w:val="22"/>
        </w:rPr>
      </w:pPr>
      <w:r w:rsidRPr="0040625D">
        <w:rPr>
          <w:rFonts w:asciiTheme="majorHAnsi" w:hAnsiTheme="majorHAnsi" w:cs="AdvOT863180fb"/>
          <w:sz w:val="22"/>
        </w:rPr>
        <w:t xml:space="preserve">Glyphosate is the most applied herbicide in Europe. The first systematic monitoring on Glyphosate residues in European soils has been recently carried out by Silva et al. and is currently under review at the scientific journal “Science of the Total Environment”. </w:t>
      </w:r>
      <w:r w:rsidR="0040625D" w:rsidRPr="0040625D">
        <w:rPr>
          <w:rFonts w:asciiTheme="majorHAnsi" w:hAnsiTheme="majorHAnsi" w:cs="AdvOT863180fb"/>
          <w:sz w:val="22"/>
        </w:rPr>
        <w:t>The authors present European wide monitoring data from more than 300 soil samples taken in 10 countries.</w:t>
      </w:r>
    </w:p>
    <w:p w:rsidR="00A32BC4" w:rsidRPr="0040625D" w:rsidRDefault="00A32BC4" w:rsidP="00A32BC4">
      <w:pPr>
        <w:autoSpaceDE w:val="0"/>
        <w:autoSpaceDN w:val="0"/>
        <w:adjustRightInd w:val="0"/>
        <w:spacing w:after="0" w:line="240" w:lineRule="auto"/>
        <w:jc w:val="both"/>
        <w:rPr>
          <w:rFonts w:asciiTheme="majorHAnsi" w:hAnsiTheme="majorHAnsi" w:cs="AdvOT863180fb"/>
          <w:sz w:val="22"/>
        </w:rPr>
      </w:pPr>
      <w:r w:rsidRPr="0040625D">
        <w:rPr>
          <w:rFonts w:asciiTheme="majorHAnsi" w:hAnsiTheme="majorHAnsi" w:cs="AdvOT863180fb"/>
          <w:sz w:val="22"/>
        </w:rPr>
        <w:t>Glyphosate and its first metabolite AMPA are detected in 4</w:t>
      </w:r>
      <w:r w:rsidR="0040625D">
        <w:rPr>
          <w:rFonts w:asciiTheme="majorHAnsi" w:hAnsiTheme="majorHAnsi" w:cs="AdvOT863180fb"/>
          <w:sz w:val="22"/>
        </w:rPr>
        <w:t>5</w:t>
      </w:r>
      <w:r w:rsidRPr="0040625D">
        <w:rPr>
          <w:rFonts w:asciiTheme="majorHAnsi" w:hAnsiTheme="majorHAnsi" w:cs="AdvOT863180fb"/>
          <w:sz w:val="22"/>
        </w:rPr>
        <w:t xml:space="preserve">% of European agricultural top soils </w:t>
      </w:r>
      <w:r w:rsidR="002D41DD" w:rsidRPr="0040625D">
        <w:rPr>
          <w:rFonts w:asciiTheme="majorHAnsi" w:hAnsiTheme="majorHAnsi" w:cs="AdvOT863180fb"/>
          <w:sz w:val="22"/>
        </w:rPr>
        <w:t>(</w:t>
      </w:r>
      <w:r w:rsidRPr="0040625D">
        <w:rPr>
          <w:rFonts w:asciiTheme="majorHAnsi" w:hAnsiTheme="majorHAnsi" w:cs="AdvOT863180fb"/>
          <w:sz w:val="22"/>
        </w:rPr>
        <w:t>da Silva et al.</w:t>
      </w:r>
      <w:r w:rsidR="002D41DD" w:rsidRPr="0040625D">
        <w:rPr>
          <w:rFonts w:asciiTheme="majorHAnsi" w:hAnsiTheme="majorHAnsi" w:cs="AdvOT863180fb"/>
          <w:sz w:val="22"/>
        </w:rPr>
        <w:t xml:space="preserve">). </w:t>
      </w:r>
      <w:r w:rsidR="00BE69BC" w:rsidRPr="0040625D">
        <w:rPr>
          <w:rFonts w:asciiTheme="majorHAnsi" w:hAnsiTheme="majorHAnsi" w:cs="AdvOT863180fb"/>
          <w:sz w:val="22"/>
        </w:rPr>
        <w:t xml:space="preserve">AMPA was </w:t>
      </w:r>
      <w:r w:rsidR="002D41DD" w:rsidRPr="0040625D">
        <w:rPr>
          <w:rFonts w:asciiTheme="majorHAnsi" w:hAnsiTheme="majorHAnsi" w:cs="AdvOT863180fb"/>
          <w:sz w:val="22"/>
        </w:rPr>
        <w:t xml:space="preserve">detected </w:t>
      </w:r>
      <w:r w:rsidR="00BE69BC" w:rsidRPr="0040625D">
        <w:rPr>
          <w:rFonts w:asciiTheme="majorHAnsi" w:hAnsiTheme="majorHAnsi" w:cs="AdvOT863180fb"/>
          <w:sz w:val="22"/>
        </w:rPr>
        <w:t>with a higher frequency and with higher concentrations</w:t>
      </w:r>
      <w:r w:rsidR="002D41DD" w:rsidRPr="0040625D">
        <w:rPr>
          <w:rFonts w:asciiTheme="majorHAnsi" w:hAnsiTheme="majorHAnsi" w:cs="AdvOT863180fb"/>
          <w:sz w:val="22"/>
        </w:rPr>
        <w:t xml:space="preserve"> than Glyphosate. AMPA was detected with concentrations </w:t>
      </w:r>
      <w:r w:rsidR="00BE69BC" w:rsidRPr="0040625D">
        <w:rPr>
          <w:rFonts w:asciiTheme="majorHAnsi" w:hAnsiTheme="majorHAnsi" w:cs="AdvOT863180fb"/>
          <w:sz w:val="22"/>
        </w:rPr>
        <w:t>up to 2 mg kg</w:t>
      </w:r>
      <w:r w:rsidR="00BE69BC" w:rsidRPr="0040625D">
        <w:rPr>
          <w:rFonts w:asciiTheme="majorHAnsi" w:hAnsiTheme="majorHAnsi" w:cs="AdvOT863180fb"/>
          <w:sz w:val="22"/>
          <w:vertAlign w:val="superscript"/>
        </w:rPr>
        <w:t>-1</w:t>
      </w:r>
      <w:r w:rsidR="00BE69BC" w:rsidRPr="0040625D">
        <w:rPr>
          <w:rFonts w:asciiTheme="majorHAnsi" w:hAnsiTheme="majorHAnsi" w:cs="AdvOT863180fb"/>
          <w:sz w:val="22"/>
        </w:rPr>
        <w:t xml:space="preserve"> soil</w:t>
      </w:r>
      <w:r w:rsidR="002D41DD" w:rsidRPr="0040625D">
        <w:rPr>
          <w:rFonts w:asciiTheme="majorHAnsi" w:hAnsiTheme="majorHAnsi" w:cs="AdvOT863180fb"/>
          <w:sz w:val="22"/>
        </w:rPr>
        <w:t>.</w:t>
      </w:r>
      <w:r w:rsidR="00BE69BC" w:rsidRPr="0040625D">
        <w:rPr>
          <w:rFonts w:asciiTheme="majorHAnsi" w:hAnsiTheme="majorHAnsi" w:cs="AdvOT863180fb"/>
          <w:sz w:val="22"/>
        </w:rPr>
        <w:t xml:space="preserve"> </w:t>
      </w:r>
    </w:p>
    <w:p w:rsidR="002D41DD" w:rsidRDefault="002D41DD" w:rsidP="00A32BC4">
      <w:pPr>
        <w:autoSpaceDE w:val="0"/>
        <w:autoSpaceDN w:val="0"/>
        <w:adjustRightInd w:val="0"/>
        <w:spacing w:after="0" w:line="240" w:lineRule="auto"/>
        <w:jc w:val="both"/>
        <w:rPr>
          <w:rFonts w:asciiTheme="majorHAnsi" w:hAnsiTheme="majorHAnsi" w:cs="AdvOT863180fb"/>
          <w:sz w:val="22"/>
        </w:rPr>
      </w:pPr>
    </w:p>
    <w:p w:rsidR="00451C8F" w:rsidRPr="0040625D" w:rsidRDefault="00451C8F" w:rsidP="00451C8F">
      <w:pPr>
        <w:pStyle w:val="ListParagraph"/>
        <w:numPr>
          <w:ilvl w:val="0"/>
          <w:numId w:val="1"/>
        </w:numPr>
        <w:autoSpaceDE w:val="0"/>
        <w:autoSpaceDN w:val="0"/>
        <w:adjustRightInd w:val="0"/>
        <w:spacing w:after="0" w:line="240" w:lineRule="auto"/>
        <w:jc w:val="both"/>
        <w:rPr>
          <w:rFonts w:asciiTheme="majorHAnsi" w:hAnsiTheme="majorHAnsi" w:cs="AdvOT863180fb"/>
          <w:b/>
          <w:sz w:val="22"/>
        </w:rPr>
      </w:pPr>
      <w:r>
        <w:rPr>
          <w:rFonts w:asciiTheme="majorHAnsi" w:hAnsiTheme="majorHAnsi" w:cs="AdvOT863180fb"/>
          <w:b/>
          <w:sz w:val="22"/>
        </w:rPr>
        <w:t xml:space="preserve">Persistence </w:t>
      </w:r>
      <w:r w:rsidRPr="0040625D">
        <w:rPr>
          <w:rFonts w:asciiTheme="majorHAnsi" w:hAnsiTheme="majorHAnsi" w:cs="AdvOT863180fb"/>
          <w:b/>
          <w:sz w:val="22"/>
        </w:rPr>
        <w:t>of Glyphosate and its main metabolite AMPA in soils</w:t>
      </w:r>
    </w:p>
    <w:p w:rsidR="00451C8F" w:rsidRPr="0040625D" w:rsidRDefault="00451C8F" w:rsidP="00A32BC4">
      <w:pPr>
        <w:autoSpaceDE w:val="0"/>
        <w:autoSpaceDN w:val="0"/>
        <w:adjustRightInd w:val="0"/>
        <w:spacing w:after="0" w:line="240" w:lineRule="auto"/>
        <w:jc w:val="both"/>
        <w:rPr>
          <w:rFonts w:asciiTheme="majorHAnsi" w:hAnsiTheme="majorHAnsi" w:cs="AdvOT863180fb"/>
          <w:sz w:val="22"/>
        </w:rPr>
      </w:pPr>
    </w:p>
    <w:p w:rsidR="00A01F2E" w:rsidRDefault="00451C8F" w:rsidP="00A93F5C">
      <w:pPr>
        <w:autoSpaceDE w:val="0"/>
        <w:autoSpaceDN w:val="0"/>
        <w:adjustRightInd w:val="0"/>
        <w:spacing w:after="120" w:line="240" w:lineRule="auto"/>
        <w:jc w:val="both"/>
        <w:rPr>
          <w:rFonts w:asciiTheme="majorHAnsi" w:hAnsiTheme="majorHAnsi" w:cs="Times New Roman"/>
          <w:sz w:val="22"/>
        </w:rPr>
      </w:pPr>
      <w:r w:rsidRPr="000D74AE">
        <w:rPr>
          <w:rFonts w:asciiTheme="majorHAnsi" w:hAnsiTheme="majorHAnsi" w:cs="AdvOT863180fb"/>
          <w:sz w:val="22"/>
        </w:rPr>
        <w:t>T</w:t>
      </w:r>
      <w:r w:rsidR="00BE69BC" w:rsidRPr="000D74AE">
        <w:rPr>
          <w:rFonts w:asciiTheme="majorHAnsi" w:hAnsiTheme="majorHAnsi" w:cs="AdvOT863180fb"/>
          <w:sz w:val="22"/>
        </w:rPr>
        <w:t>he decay of Glyphosate and AMPA</w:t>
      </w:r>
      <w:r w:rsidRPr="000D74AE">
        <w:rPr>
          <w:rFonts w:asciiTheme="majorHAnsi" w:hAnsiTheme="majorHAnsi" w:cs="AdvOT863180fb"/>
          <w:sz w:val="22"/>
        </w:rPr>
        <w:t xml:space="preserve"> in soil</w:t>
      </w:r>
      <w:r w:rsidR="00BE69BC" w:rsidRPr="000D74AE">
        <w:rPr>
          <w:rFonts w:asciiTheme="majorHAnsi" w:hAnsiTheme="majorHAnsi" w:cs="AdvOT863180fb"/>
          <w:sz w:val="22"/>
        </w:rPr>
        <w:t xml:space="preserve"> strongly depend</w:t>
      </w:r>
      <w:r w:rsidR="00A01F2E" w:rsidRPr="000D74AE">
        <w:rPr>
          <w:rFonts w:asciiTheme="majorHAnsi" w:hAnsiTheme="majorHAnsi" w:cs="AdvOT863180fb"/>
          <w:sz w:val="22"/>
        </w:rPr>
        <w:t>s</w:t>
      </w:r>
      <w:r w:rsidR="00BE69BC" w:rsidRPr="000D74AE">
        <w:rPr>
          <w:rFonts w:asciiTheme="majorHAnsi" w:hAnsiTheme="majorHAnsi" w:cs="AdvOT863180fb"/>
          <w:sz w:val="22"/>
        </w:rPr>
        <w:t xml:space="preserve"> on temperature and soil moisture. </w:t>
      </w:r>
      <w:r w:rsidR="00A01F2E" w:rsidRPr="000D74AE">
        <w:rPr>
          <w:rFonts w:asciiTheme="majorHAnsi" w:hAnsiTheme="majorHAnsi" w:cs="AdvOT863180fb"/>
          <w:sz w:val="22"/>
        </w:rPr>
        <w:t>Glyphosate dissipates fast under warm and moist conditions (DT50 (half fife time) 1.5 days, DT90 (90% decay) 53 days</w:t>
      </w:r>
      <w:r w:rsidRPr="000D74AE">
        <w:rPr>
          <w:rFonts w:asciiTheme="majorHAnsi" w:hAnsiTheme="majorHAnsi" w:cs="AdvOT863180fb"/>
          <w:sz w:val="22"/>
        </w:rPr>
        <w:t xml:space="preserve"> (Bento et al. 2016</w:t>
      </w:r>
      <w:r w:rsidR="00A01F2E" w:rsidRPr="000D74AE">
        <w:rPr>
          <w:rFonts w:asciiTheme="majorHAnsi" w:hAnsiTheme="majorHAnsi" w:cs="AdvOT863180fb"/>
          <w:sz w:val="22"/>
        </w:rPr>
        <w:t>), but it persists 30 times longer under cold and dry conditions (DT50</w:t>
      </w:r>
      <w:r w:rsidR="00D11CC8" w:rsidRPr="000D74AE">
        <w:rPr>
          <w:rFonts w:asciiTheme="majorHAnsi" w:hAnsiTheme="majorHAnsi" w:cs="AdvOT863180fb"/>
          <w:sz w:val="22"/>
        </w:rPr>
        <w:t>:</w:t>
      </w:r>
      <w:r w:rsidR="00A01F2E" w:rsidRPr="000D74AE">
        <w:rPr>
          <w:rFonts w:asciiTheme="majorHAnsi" w:hAnsiTheme="majorHAnsi" w:cs="AdvOT863180fb"/>
          <w:sz w:val="22"/>
        </w:rPr>
        <w:t xml:space="preserve"> 53 days, DT90</w:t>
      </w:r>
      <w:r w:rsidR="00D11CC8" w:rsidRPr="000D74AE">
        <w:rPr>
          <w:rFonts w:asciiTheme="majorHAnsi" w:hAnsiTheme="majorHAnsi" w:cs="AdvOT863180fb"/>
          <w:sz w:val="22"/>
        </w:rPr>
        <w:t>:</w:t>
      </w:r>
      <w:r w:rsidR="00A01F2E" w:rsidRPr="000D74AE">
        <w:rPr>
          <w:rFonts w:asciiTheme="majorHAnsi" w:hAnsiTheme="majorHAnsi" w:cs="AdvOT863180fb"/>
          <w:sz w:val="22"/>
        </w:rPr>
        <w:t xml:space="preserve"> 280 days).</w:t>
      </w:r>
      <w:r w:rsidRPr="000D74AE">
        <w:rPr>
          <w:rFonts w:asciiTheme="majorHAnsi" w:hAnsiTheme="majorHAnsi" w:cs="AdvOT863180fb"/>
          <w:sz w:val="22"/>
        </w:rPr>
        <w:t xml:space="preserve"> E</w:t>
      </w:r>
      <w:r w:rsidR="00A93F5C">
        <w:rPr>
          <w:rFonts w:asciiTheme="majorHAnsi" w:hAnsiTheme="majorHAnsi" w:cs="AdvOT863180fb"/>
          <w:sz w:val="22"/>
        </w:rPr>
        <w:t>FSA</w:t>
      </w:r>
      <w:r w:rsidRPr="000D74AE">
        <w:rPr>
          <w:rFonts w:asciiTheme="majorHAnsi" w:hAnsiTheme="majorHAnsi" w:cs="AdvOT863180fb"/>
          <w:sz w:val="22"/>
        </w:rPr>
        <w:t xml:space="preserve"> presented DT90 values for Glyphosate in a range from 67-387 days and for AMPA from</w:t>
      </w:r>
      <w:r w:rsidR="00A01F2E" w:rsidRPr="000D74AE">
        <w:rPr>
          <w:rFonts w:asciiTheme="majorHAnsi" w:hAnsiTheme="majorHAnsi" w:cs="AdvOT863180fb"/>
          <w:sz w:val="22"/>
        </w:rPr>
        <w:t xml:space="preserve"> </w:t>
      </w:r>
      <w:r w:rsidRPr="000D74AE">
        <w:rPr>
          <w:rFonts w:asciiTheme="majorHAnsi" w:hAnsiTheme="majorHAnsi" w:cs="Times New Roman"/>
          <w:sz w:val="22"/>
        </w:rPr>
        <w:t>942 to &gt;1000 days (E</w:t>
      </w:r>
      <w:r w:rsidR="00A93F5C">
        <w:rPr>
          <w:rFonts w:asciiTheme="majorHAnsi" w:hAnsiTheme="majorHAnsi" w:cs="Times New Roman"/>
          <w:sz w:val="22"/>
        </w:rPr>
        <w:t>FSA</w:t>
      </w:r>
      <w:r w:rsidRPr="000D74AE">
        <w:rPr>
          <w:rFonts w:asciiTheme="majorHAnsi" w:hAnsiTheme="majorHAnsi" w:cs="Times New Roman"/>
          <w:sz w:val="22"/>
        </w:rPr>
        <w:t xml:space="preserve"> 201</w:t>
      </w:r>
      <w:r w:rsidR="00A93F5C">
        <w:rPr>
          <w:rFonts w:asciiTheme="majorHAnsi" w:hAnsiTheme="majorHAnsi" w:cs="Times New Roman"/>
          <w:sz w:val="22"/>
        </w:rPr>
        <w:t>3</w:t>
      </w:r>
      <w:r w:rsidRPr="000D74AE">
        <w:rPr>
          <w:rFonts w:asciiTheme="majorHAnsi" w:hAnsiTheme="majorHAnsi" w:cs="Times New Roman"/>
          <w:sz w:val="22"/>
        </w:rPr>
        <w:t>).</w:t>
      </w:r>
    </w:p>
    <w:p w:rsidR="00451C8F" w:rsidRPr="000D74AE" w:rsidRDefault="00451C8F" w:rsidP="00A01F2E">
      <w:pPr>
        <w:autoSpaceDE w:val="0"/>
        <w:autoSpaceDN w:val="0"/>
        <w:adjustRightInd w:val="0"/>
        <w:spacing w:after="0" w:line="240" w:lineRule="auto"/>
        <w:jc w:val="both"/>
        <w:rPr>
          <w:rFonts w:asciiTheme="majorHAnsi" w:hAnsiTheme="majorHAnsi" w:cs="AdvOT863180fb"/>
          <w:sz w:val="22"/>
        </w:rPr>
      </w:pPr>
      <w:r w:rsidRPr="000D74AE">
        <w:rPr>
          <w:rFonts w:asciiTheme="majorHAnsi" w:hAnsiTheme="majorHAnsi" w:cs="AdvOT863180fb"/>
          <w:sz w:val="22"/>
        </w:rPr>
        <w:t xml:space="preserve">This high persistence of Glyphosate and AMPA in soils and the fact that they are strongly adsorbed to soil particles lead to a high risk of soil pollution. </w:t>
      </w:r>
      <w:r w:rsidR="00AF4D61" w:rsidRPr="000D74AE">
        <w:rPr>
          <w:rFonts w:asciiTheme="majorHAnsi" w:hAnsiTheme="majorHAnsi" w:cs="AdvOT863180fb"/>
          <w:sz w:val="22"/>
        </w:rPr>
        <w:t>Knowledge on the effect on soil biota is limited.</w:t>
      </w:r>
      <w:r w:rsidR="00F12596">
        <w:rPr>
          <w:rFonts w:asciiTheme="majorHAnsi" w:hAnsiTheme="majorHAnsi" w:cs="AdvOT863180fb"/>
          <w:sz w:val="22"/>
        </w:rPr>
        <w:t xml:space="preserve"> However, Glyphosate and AMPA are NOT immobilized in soils, but underlay a strong risk of </w:t>
      </w:r>
      <w:proofErr w:type="spellStart"/>
      <w:r w:rsidR="00F12596">
        <w:rPr>
          <w:rFonts w:asciiTheme="majorHAnsi" w:hAnsiTheme="majorHAnsi" w:cs="AdvOT863180fb"/>
          <w:sz w:val="22"/>
        </w:rPr>
        <w:t>off site</w:t>
      </w:r>
      <w:proofErr w:type="spellEnd"/>
      <w:r w:rsidR="00F12596">
        <w:rPr>
          <w:rFonts w:asciiTheme="majorHAnsi" w:hAnsiTheme="majorHAnsi" w:cs="AdvOT863180fb"/>
          <w:sz w:val="22"/>
        </w:rPr>
        <w:t xml:space="preserve"> transport by erosion:</w:t>
      </w:r>
    </w:p>
    <w:p w:rsidR="00A32BC4" w:rsidRPr="0040625D" w:rsidRDefault="00A32BC4" w:rsidP="00A32BC4">
      <w:pPr>
        <w:autoSpaceDE w:val="0"/>
        <w:autoSpaceDN w:val="0"/>
        <w:adjustRightInd w:val="0"/>
        <w:spacing w:after="0" w:line="240" w:lineRule="auto"/>
        <w:jc w:val="both"/>
        <w:rPr>
          <w:rFonts w:asciiTheme="majorHAnsi" w:hAnsiTheme="majorHAnsi" w:cs="AdvOT863180fb"/>
          <w:sz w:val="22"/>
        </w:rPr>
      </w:pPr>
    </w:p>
    <w:p w:rsidR="00F12596" w:rsidRDefault="00466F55" w:rsidP="00466F55">
      <w:pPr>
        <w:pStyle w:val="ListParagraph"/>
        <w:numPr>
          <w:ilvl w:val="0"/>
          <w:numId w:val="1"/>
        </w:numPr>
        <w:autoSpaceDE w:val="0"/>
        <w:autoSpaceDN w:val="0"/>
        <w:adjustRightInd w:val="0"/>
        <w:spacing w:after="0" w:line="240" w:lineRule="auto"/>
        <w:jc w:val="both"/>
        <w:rPr>
          <w:rFonts w:asciiTheme="majorHAnsi" w:hAnsiTheme="majorHAnsi" w:cs="AdvOT863180fb"/>
          <w:b/>
          <w:sz w:val="22"/>
        </w:rPr>
      </w:pPr>
      <w:r w:rsidRPr="0040625D">
        <w:rPr>
          <w:rFonts w:asciiTheme="majorHAnsi" w:hAnsiTheme="majorHAnsi" w:cs="AdvOT863180fb"/>
          <w:b/>
          <w:sz w:val="22"/>
        </w:rPr>
        <w:t xml:space="preserve">Risk of transport of Glyphosate </w:t>
      </w:r>
      <w:r w:rsidR="000C7E7C" w:rsidRPr="0040625D">
        <w:rPr>
          <w:rFonts w:asciiTheme="majorHAnsi" w:hAnsiTheme="majorHAnsi" w:cs="AdvOT863180fb"/>
          <w:b/>
          <w:sz w:val="22"/>
        </w:rPr>
        <w:t xml:space="preserve">and AMPA </w:t>
      </w:r>
      <w:r w:rsidRPr="0040625D">
        <w:rPr>
          <w:rFonts w:asciiTheme="majorHAnsi" w:hAnsiTheme="majorHAnsi" w:cs="AdvOT863180fb"/>
          <w:b/>
          <w:sz w:val="22"/>
        </w:rPr>
        <w:t>by wind erosion and concentration in dust</w:t>
      </w:r>
      <w:r w:rsidR="00F12596">
        <w:rPr>
          <w:rFonts w:asciiTheme="majorHAnsi" w:hAnsiTheme="majorHAnsi" w:cs="AdvOT863180fb"/>
          <w:b/>
          <w:sz w:val="22"/>
        </w:rPr>
        <w:t xml:space="preserve"> </w:t>
      </w:r>
    </w:p>
    <w:p w:rsidR="00466F55" w:rsidRPr="0040625D" w:rsidRDefault="000C7E7C" w:rsidP="00F12596">
      <w:pPr>
        <w:pStyle w:val="ListParagraph"/>
        <w:autoSpaceDE w:val="0"/>
        <w:autoSpaceDN w:val="0"/>
        <w:adjustRightInd w:val="0"/>
        <w:spacing w:after="0" w:line="240" w:lineRule="auto"/>
        <w:jc w:val="both"/>
        <w:rPr>
          <w:rFonts w:asciiTheme="majorHAnsi" w:hAnsiTheme="majorHAnsi" w:cs="AdvOT863180fb"/>
          <w:b/>
          <w:sz w:val="22"/>
        </w:rPr>
      </w:pPr>
      <w:r w:rsidRPr="0040625D">
        <w:rPr>
          <w:rFonts w:asciiTheme="majorHAnsi" w:hAnsiTheme="majorHAnsi" w:cs="AdvOT863180fb"/>
          <w:b/>
          <w:sz w:val="22"/>
        </w:rPr>
        <w:t>- risk for human exposure</w:t>
      </w:r>
    </w:p>
    <w:p w:rsidR="00A32BC4" w:rsidRPr="0040625D" w:rsidRDefault="00466F55" w:rsidP="00466F55">
      <w:pPr>
        <w:autoSpaceDE w:val="0"/>
        <w:autoSpaceDN w:val="0"/>
        <w:adjustRightInd w:val="0"/>
        <w:spacing w:after="0" w:line="240" w:lineRule="auto"/>
        <w:ind w:left="360"/>
        <w:jc w:val="both"/>
        <w:rPr>
          <w:rFonts w:asciiTheme="majorHAnsi" w:hAnsiTheme="majorHAnsi" w:cs="AdvOT863180fb"/>
          <w:b/>
          <w:sz w:val="22"/>
        </w:rPr>
      </w:pPr>
      <w:r w:rsidRPr="0040625D">
        <w:rPr>
          <w:rFonts w:asciiTheme="majorHAnsi" w:hAnsiTheme="majorHAnsi" w:cs="AdvOT863180fb"/>
          <w:b/>
          <w:sz w:val="22"/>
        </w:rPr>
        <w:t xml:space="preserve"> </w:t>
      </w:r>
    </w:p>
    <w:p w:rsidR="001B3727" w:rsidRDefault="006315D5" w:rsidP="00A93F5C">
      <w:pPr>
        <w:autoSpaceDE w:val="0"/>
        <w:autoSpaceDN w:val="0"/>
        <w:adjustRightInd w:val="0"/>
        <w:spacing w:after="120" w:line="240" w:lineRule="auto"/>
        <w:jc w:val="both"/>
        <w:rPr>
          <w:rFonts w:asciiTheme="majorHAnsi" w:hAnsiTheme="majorHAnsi" w:cs="AdvOT863180fb"/>
          <w:sz w:val="22"/>
        </w:rPr>
      </w:pPr>
      <w:r w:rsidRPr="0040625D">
        <w:rPr>
          <w:rFonts w:asciiTheme="majorHAnsi" w:hAnsiTheme="majorHAnsi" w:cs="AdvOT863180fb"/>
          <w:sz w:val="22"/>
        </w:rPr>
        <w:t xml:space="preserve">If Glyphosate is applied to soils in regions prone to wind erosion, human exposure can be very high </w:t>
      </w:r>
      <w:proofErr w:type="gramStart"/>
      <w:r w:rsidRPr="0040625D">
        <w:rPr>
          <w:rFonts w:asciiTheme="majorHAnsi" w:hAnsiTheme="majorHAnsi" w:cs="AdvOT863180fb"/>
          <w:sz w:val="22"/>
        </w:rPr>
        <w:t>In</w:t>
      </w:r>
      <w:proofErr w:type="gramEnd"/>
      <w:r w:rsidRPr="0040625D">
        <w:rPr>
          <w:rFonts w:asciiTheme="majorHAnsi" w:hAnsiTheme="majorHAnsi" w:cs="AdvOT863180fb"/>
          <w:sz w:val="22"/>
        </w:rPr>
        <w:t xml:space="preserve"> case of wind erosion Glyphosate is and AMPA contents are concentrated in sediment particles </w:t>
      </w:r>
      <w:r w:rsidRPr="0040625D">
        <w:rPr>
          <w:rFonts w:asciiTheme="majorHAnsi" w:hAnsiTheme="majorHAnsi" w:cs="AdvOTb0c9bf5d"/>
          <w:sz w:val="22"/>
        </w:rPr>
        <w:t>&lt;</w:t>
      </w:r>
      <w:r w:rsidRPr="0040625D">
        <w:rPr>
          <w:rFonts w:asciiTheme="majorHAnsi" w:hAnsiTheme="majorHAnsi" w:cs="AdvOT863180fb"/>
          <w:sz w:val="22"/>
        </w:rPr>
        <w:t>10 µm(PM10), and that their content diminishes with increasing particle size. The risk of off-site airborne transport of glyphosate and AMPA with dust is, therefore, very high. Because glyphosate and AMPA hardly decay under dry conditions of the soil, this risk is intensi</w:t>
      </w:r>
      <w:r w:rsidRPr="0040625D">
        <w:rPr>
          <w:rFonts w:asciiTheme="majorHAnsi" w:hAnsiTheme="majorHAnsi" w:cs="AdvOT863180fb+fb"/>
          <w:sz w:val="22"/>
        </w:rPr>
        <w:t>fi</w:t>
      </w:r>
      <w:r w:rsidRPr="0040625D">
        <w:rPr>
          <w:rFonts w:asciiTheme="majorHAnsi" w:hAnsiTheme="majorHAnsi" w:cs="AdvOT863180fb"/>
          <w:sz w:val="22"/>
        </w:rPr>
        <w:t>ed if glyphosate is applied in arid and semi-arid areas or during long periods of draught. If glyphosate and AMPA contaminated PM10 fractions of soil are emitted to the atmosphere, they may be inhaled by humans and animals. Particles &lt; 4µm are directly long relevant. (details see Bento et al. 2017)</w:t>
      </w:r>
      <w:r w:rsidR="000D74AE">
        <w:rPr>
          <w:rFonts w:asciiTheme="majorHAnsi" w:hAnsiTheme="majorHAnsi" w:cs="AdvOT863180fb"/>
          <w:sz w:val="22"/>
        </w:rPr>
        <w:t>.</w:t>
      </w:r>
      <w:r w:rsidR="001B3727">
        <w:rPr>
          <w:rFonts w:asciiTheme="majorHAnsi" w:hAnsiTheme="majorHAnsi" w:cs="AdvOT863180fb"/>
          <w:sz w:val="22"/>
        </w:rPr>
        <w:t xml:space="preserve"> </w:t>
      </w:r>
    </w:p>
    <w:p w:rsidR="006315D5" w:rsidRPr="001B3727" w:rsidRDefault="001B3727" w:rsidP="00A93F5C">
      <w:pPr>
        <w:autoSpaceDE w:val="0"/>
        <w:autoSpaceDN w:val="0"/>
        <w:adjustRightInd w:val="0"/>
        <w:spacing w:after="120" w:line="240" w:lineRule="auto"/>
        <w:jc w:val="both"/>
        <w:rPr>
          <w:rFonts w:asciiTheme="majorHAnsi" w:hAnsiTheme="majorHAnsi" w:cs="AdvOT863180fb"/>
          <w:sz w:val="22"/>
        </w:rPr>
      </w:pPr>
      <w:r>
        <w:rPr>
          <w:rFonts w:asciiTheme="majorHAnsi" w:hAnsiTheme="majorHAnsi" w:cs="AdvOT863180fb"/>
          <w:sz w:val="22"/>
        </w:rPr>
        <w:t>G</w:t>
      </w:r>
      <w:r w:rsidRPr="001B3727">
        <w:rPr>
          <w:rFonts w:asciiTheme="majorHAnsi" w:hAnsiTheme="majorHAnsi" w:cs="AdvOT863180fb"/>
          <w:sz w:val="22"/>
        </w:rPr>
        <w:t xml:space="preserve">lyphosate and AMPA were detected in </w:t>
      </w:r>
      <w:r>
        <w:rPr>
          <w:rFonts w:asciiTheme="majorHAnsi" w:hAnsiTheme="majorHAnsi" w:cs="AdvOT863180fb"/>
          <w:sz w:val="22"/>
        </w:rPr>
        <w:t xml:space="preserve">in 50% of </w:t>
      </w:r>
      <w:r w:rsidRPr="001B3727">
        <w:rPr>
          <w:rFonts w:asciiTheme="majorHAnsi" w:hAnsiTheme="majorHAnsi" w:cs="AdvOT863180fb"/>
          <w:sz w:val="22"/>
        </w:rPr>
        <w:t>air samples from agricultural areas in the U.S.A</w:t>
      </w:r>
      <w:r>
        <w:rPr>
          <w:rFonts w:asciiTheme="majorHAnsi" w:hAnsiTheme="majorHAnsi" w:cs="AdvOT863180fb"/>
          <w:sz w:val="22"/>
        </w:rPr>
        <w:t xml:space="preserve"> with </w:t>
      </w:r>
      <w:r w:rsidRPr="001B3727">
        <w:rPr>
          <w:rFonts w:asciiTheme="majorHAnsi" w:hAnsiTheme="majorHAnsi" w:cs="AdvOT863180fb"/>
          <w:sz w:val="22"/>
        </w:rPr>
        <w:t xml:space="preserve">concentrations </w:t>
      </w:r>
      <w:r>
        <w:rPr>
          <w:rFonts w:asciiTheme="majorHAnsi" w:hAnsiTheme="majorHAnsi" w:cs="AdvOT863180fb"/>
          <w:sz w:val="22"/>
        </w:rPr>
        <w:t xml:space="preserve">up to </w:t>
      </w:r>
      <w:r w:rsidRPr="001B3727">
        <w:rPr>
          <w:rFonts w:asciiTheme="majorHAnsi" w:hAnsiTheme="majorHAnsi" w:cs="AdvOT863180fb"/>
          <w:sz w:val="22"/>
        </w:rPr>
        <w:t xml:space="preserve">9.1 and 0.97 ng m-3 (Chang et al., 2011). The contribution of wind erosion </w:t>
      </w:r>
      <w:r w:rsidR="00A93F5C">
        <w:rPr>
          <w:rFonts w:asciiTheme="majorHAnsi" w:hAnsiTheme="majorHAnsi" w:cs="AdvOT863180fb"/>
          <w:sz w:val="22"/>
        </w:rPr>
        <w:t xml:space="preserve">or drift </w:t>
      </w:r>
      <w:r w:rsidRPr="001B3727">
        <w:rPr>
          <w:rFonts w:asciiTheme="majorHAnsi" w:hAnsiTheme="majorHAnsi" w:cs="AdvOT863180fb"/>
          <w:sz w:val="22"/>
        </w:rPr>
        <w:t xml:space="preserve">to the atmospheric concentration of glyphosate </w:t>
      </w:r>
      <w:r w:rsidR="00A93F5C">
        <w:rPr>
          <w:rFonts w:asciiTheme="majorHAnsi" w:hAnsiTheme="majorHAnsi" w:cs="AdvOT863180fb"/>
          <w:sz w:val="22"/>
        </w:rPr>
        <w:t xml:space="preserve">and AMPA </w:t>
      </w:r>
      <w:r w:rsidRPr="001B3727">
        <w:rPr>
          <w:rFonts w:asciiTheme="majorHAnsi" w:hAnsiTheme="majorHAnsi" w:cs="AdvOT863180fb"/>
          <w:sz w:val="22"/>
        </w:rPr>
        <w:t>is still unknown.</w:t>
      </w:r>
    </w:p>
    <w:p w:rsidR="000D74AE" w:rsidRPr="0040625D" w:rsidRDefault="000D74AE" w:rsidP="00A32BC4">
      <w:pPr>
        <w:autoSpaceDE w:val="0"/>
        <w:autoSpaceDN w:val="0"/>
        <w:adjustRightInd w:val="0"/>
        <w:spacing w:after="0" w:line="240" w:lineRule="auto"/>
        <w:jc w:val="both"/>
        <w:rPr>
          <w:rFonts w:asciiTheme="majorHAnsi" w:hAnsiTheme="majorHAnsi" w:cs="AdvOT863180fb"/>
          <w:sz w:val="22"/>
        </w:rPr>
      </w:pPr>
      <w:r w:rsidRPr="0040625D">
        <w:rPr>
          <w:rFonts w:asciiTheme="majorHAnsi" w:hAnsiTheme="majorHAnsi" w:cs="AdvOT863180fb"/>
          <w:sz w:val="22"/>
        </w:rPr>
        <w:t>Th</w:t>
      </w:r>
      <w:r w:rsidR="00A93F5C">
        <w:rPr>
          <w:rFonts w:asciiTheme="majorHAnsi" w:hAnsiTheme="majorHAnsi" w:cs="AdvOT863180fb"/>
          <w:sz w:val="22"/>
        </w:rPr>
        <w:t>e air pollution</w:t>
      </w:r>
      <w:r w:rsidRPr="0040625D">
        <w:rPr>
          <w:rFonts w:asciiTheme="majorHAnsi" w:hAnsiTheme="majorHAnsi" w:cs="AdvOT863180fb"/>
          <w:sz w:val="22"/>
        </w:rPr>
        <w:t xml:space="preserve"> contributes to the risk of human and animal exposure and, therefore, more attention should be paid to this route of exposure</w:t>
      </w:r>
      <w:r>
        <w:rPr>
          <w:rFonts w:asciiTheme="majorHAnsi" w:hAnsiTheme="majorHAnsi" w:cs="AdvOT863180fb"/>
          <w:sz w:val="22"/>
        </w:rPr>
        <w:t>.</w:t>
      </w:r>
      <w:r w:rsidRPr="0040625D">
        <w:rPr>
          <w:rFonts w:asciiTheme="majorHAnsi" w:hAnsiTheme="majorHAnsi" w:cs="AdvOT863180fb"/>
          <w:sz w:val="22"/>
        </w:rPr>
        <w:t xml:space="preserve"> </w:t>
      </w:r>
    </w:p>
    <w:p w:rsidR="000C7E7C" w:rsidRPr="0040625D" w:rsidRDefault="000C7E7C" w:rsidP="00A32BC4">
      <w:pPr>
        <w:autoSpaceDE w:val="0"/>
        <w:autoSpaceDN w:val="0"/>
        <w:adjustRightInd w:val="0"/>
        <w:spacing w:after="0" w:line="240" w:lineRule="auto"/>
        <w:jc w:val="both"/>
        <w:rPr>
          <w:rFonts w:asciiTheme="majorHAnsi" w:hAnsiTheme="majorHAnsi" w:cs="AdvOT863180fb"/>
          <w:sz w:val="22"/>
        </w:rPr>
      </w:pPr>
    </w:p>
    <w:p w:rsidR="00A93F5C" w:rsidRDefault="000C7E7C" w:rsidP="000C7E7C">
      <w:pPr>
        <w:pStyle w:val="ListParagraph"/>
        <w:numPr>
          <w:ilvl w:val="0"/>
          <w:numId w:val="1"/>
        </w:numPr>
        <w:autoSpaceDE w:val="0"/>
        <w:autoSpaceDN w:val="0"/>
        <w:adjustRightInd w:val="0"/>
        <w:spacing w:after="0" w:line="240" w:lineRule="auto"/>
        <w:jc w:val="both"/>
        <w:rPr>
          <w:rFonts w:asciiTheme="majorHAnsi" w:hAnsiTheme="majorHAnsi" w:cs="AdvOT863180fb"/>
          <w:b/>
          <w:sz w:val="22"/>
        </w:rPr>
      </w:pPr>
      <w:r w:rsidRPr="00451C8F">
        <w:rPr>
          <w:rFonts w:asciiTheme="majorHAnsi" w:hAnsiTheme="majorHAnsi" w:cs="AdvOT863180fb"/>
          <w:b/>
          <w:sz w:val="22"/>
        </w:rPr>
        <w:t xml:space="preserve">Risk of transport of Glyphosate and AMPA by water erosion </w:t>
      </w:r>
    </w:p>
    <w:p w:rsidR="000C7E7C" w:rsidRPr="00451C8F" w:rsidRDefault="000C7E7C" w:rsidP="00A93F5C">
      <w:pPr>
        <w:pStyle w:val="ListParagraph"/>
        <w:autoSpaceDE w:val="0"/>
        <w:autoSpaceDN w:val="0"/>
        <w:adjustRightInd w:val="0"/>
        <w:spacing w:after="0" w:line="240" w:lineRule="auto"/>
        <w:jc w:val="both"/>
        <w:rPr>
          <w:rFonts w:asciiTheme="majorHAnsi" w:hAnsiTheme="majorHAnsi" w:cs="AdvOT863180fb"/>
          <w:b/>
          <w:sz w:val="22"/>
        </w:rPr>
      </w:pPr>
      <w:r w:rsidRPr="00451C8F">
        <w:rPr>
          <w:rFonts w:asciiTheme="majorHAnsi" w:hAnsiTheme="majorHAnsi" w:cs="AdvOT863180fb"/>
          <w:b/>
          <w:sz w:val="22"/>
        </w:rPr>
        <w:t xml:space="preserve">– risk for transport to surface water bodies and aquatic life </w:t>
      </w:r>
    </w:p>
    <w:p w:rsidR="00BE69BC" w:rsidRDefault="00BE69BC" w:rsidP="00BE69BC">
      <w:pPr>
        <w:autoSpaceDE w:val="0"/>
        <w:autoSpaceDN w:val="0"/>
        <w:adjustRightInd w:val="0"/>
        <w:spacing w:after="0" w:line="240" w:lineRule="auto"/>
        <w:jc w:val="both"/>
        <w:rPr>
          <w:rFonts w:asciiTheme="majorHAnsi" w:hAnsiTheme="majorHAnsi" w:cs="AdvOT863180fb"/>
          <w:sz w:val="22"/>
        </w:rPr>
      </w:pPr>
    </w:p>
    <w:p w:rsidR="00A5451F" w:rsidRPr="001B3727" w:rsidRDefault="00A5451F" w:rsidP="001B3727">
      <w:pPr>
        <w:autoSpaceDE w:val="0"/>
        <w:autoSpaceDN w:val="0"/>
        <w:adjustRightInd w:val="0"/>
        <w:spacing w:after="0" w:line="240" w:lineRule="auto"/>
        <w:jc w:val="both"/>
        <w:rPr>
          <w:rFonts w:asciiTheme="majorHAnsi" w:hAnsiTheme="majorHAnsi" w:cs="AdvOT863180fb"/>
          <w:sz w:val="22"/>
        </w:rPr>
      </w:pPr>
      <w:r>
        <w:rPr>
          <w:rFonts w:asciiTheme="majorHAnsi" w:hAnsiTheme="majorHAnsi" w:cs="AdvOT863180fb"/>
          <w:sz w:val="22"/>
        </w:rPr>
        <w:t>Glyphosate and AMPA are &gt;90% adsorbed to soil particle</w:t>
      </w:r>
      <w:r w:rsidR="00AF4D61">
        <w:rPr>
          <w:rFonts w:asciiTheme="majorHAnsi" w:hAnsiTheme="majorHAnsi" w:cs="AdvOT863180fb"/>
          <w:sz w:val="22"/>
        </w:rPr>
        <w:t>, but this does not mean that they are immobilized in the soil. In contrary, they are</w:t>
      </w:r>
      <w:r>
        <w:rPr>
          <w:rFonts w:asciiTheme="majorHAnsi" w:hAnsiTheme="majorHAnsi" w:cs="AdvOT863180fb"/>
          <w:sz w:val="22"/>
        </w:rPr>
        <w:t xml:space="preserve"> transported </w:t>
      </w:r>
      <w:r w:rsidR="00AF4D61">
        <w:rPr>
          <w:rFonts w:asciiTheme="majorHAnsi" w:hAnsiTheme="majorHAnsi" w:cs="AdvOT863180fb"/>
          <w:sz w:val="22"/>
        </w:rPr>
        <w:t xml:space="preserve">adsorbed to the finest soil particles </w:t>
      </w:r>
      <w:r>
        <w:rPr>
          <w:rFonts w:asciiTheme="majorHAnsi" w:hAnsiTheme="majorHAnsi" w:cs="AdvOT863180fb"/>
          <w:sz w:val="22"/>
        </w:rPr>
        <w:t>by water erosion to the aquatic bodies</w:t>
      </w:r>
      <w:r w:rsidR="00AF4D61">
        <w:rPr>
          <w:rFonts w:asciiTheme="majorHAnsi" w:hAnsiTheme="majorHAnsi" w:cs="AdvOT863180fb"/>
          <w:sz w:val="22"/>
        </w:rPr>
        <w:t xml:space="preserve"> (Zuilhof et al. 2016)</w:t>
      </w:r>
      <w:r>
        <w:rPr>
          <w:rFonts w:asciiTheme="majorHAnsi" w:hAnsiTheme="majorHAnsi" w:cs="AdvOT863180fb"/>
          <w:sz w:val="22"/>
        </w:rPr>
        <w:t xml:space="preserve">. Actual models applied for the approval of pesticides (PELMO, PEARL) do not consider this </w:t>
      </w:r>
      <w:r w:rsidR="001B3727">
        <w:rPr>
          <w:rFonts w:asciiTheme="majorHAnsi" w:hAnsiTheme="majorHAnsi" w:cs="AdvOT863180fb"/>
          <w:sz w:val="22"/>
        </w:rPr>
        <w:t xml:space="preserve">particulate </w:t>
      </w:r>
      <w:r>
        <w:rPr>
          <w:rFonts w:asciiTheme="majorHAnsi" w:hAnsiTheme="majorHAnsi" w:cs="AdvOT863180fb"/>
          <w:sz w:val="22"/>
        </w:rPr>
        <w:t>transport ways</w:t>
      </w:r>
      <w:r w:rsidR="00AF4D61">
        <w:rPr>
          <w:rFonts w:asciiTheme="majorHAnsi" w:hAnsiTheme="majorHAnsi" w:cs="AdvOT863180fb"/>
          <w:sz w:val="22"/>
        </w:rPr>
        <w:t xml:space="preserve"> and therefore do not predict surface water pollution in the dimension we actually find. </w:t>
      </w:r>
      <w:r w:rsidR="001B3727" w:rsidRPr="001B3727">
        <w:rPr>
          <w:rFonts w:asciiTheme="majorHAnsi" w:hAnsiTheme="majorHAnsi" w:cs="AdvOT863180fb"/>
          <w:sz w:val="22"/>
        </w:rPr>
        <w:t xml:space="preserve">Glyphosate and AMPA have been </w:t>
      </w:r>
      <w:proofErr w:type="spellStart"/>
      <w:r w:rsidR="001B3727" w:rsidRPr="001B3727">
        <w:rPr>
          <w:rFonts w:asciiTheme="majorHAnsi" w:hAnsiTheme="majorHAnsi" w:cs="AdvOT863180fb"/>
          <w:sz w:val="22"/>
        </w:rPr>
        <w:t>analyzed</w:t>
      </w:r>
      <w:proofErr w:type="spellEnd"/>
      <w:r w:rsidR="001B3727" w:rsidRPr="001B3727">
        <w:rPr>
          <w:rFonts w:asciiTheme="majorHAnsi" w:hAnsiTheme="majorHAnsi" w:cs="AdvOT863180fb"/>
          <w:sz w:val="22"/>
        </w:rPr>
        <w:t xml:space="preserve"> in respectively 75350 and 57112 surface water samples across Europe, and </w:t>
      </w:r>
      <w:r w:rsidR="001B3727">
        <w:rPr>
          <w:rFonts w:asciiTheme="majorHAnsi" w:hAnsiTheme="majorHAnsi" w:cs="AdvOT863180fb"/>
          <w:sz w:val="22"/>
        </w:rPr>
        <w:t xml:space="preserve">were </w:t>
      </w:r>
      <w:r w:rsidR="001B3727" w:rsidRPr="001B3727">
        <w:rPr>
          <w:rFonts w:asciiTheme="majorHAnsi" w:hAnsiTheme="majorHAnsi" w:cs="AdvOT863180fb"/>
          <w:sz w:val="22"/>
        </w:rPr>
        <w:t>detected in 33% and 54% of the samples at levels up to 370 µg L-1 and &gt;200 µg L</w:t>
      </w:r>
      <w:r w:rsidR="001B3727" w:rsidRPr="001B3727">
        <w:rPr>
          <w:rFonts w:asciiTheme="majorHAnsi" w:hAnsiTheme="majorHAnsi" w:cs="AdvOT863180fb"/>
          <w:sz w:val="22"/>
          <w:vertAlign w:val="superscript"/>
        </w:rPr>
        <w:t>-1</w:t>
      </w:r>
      <w:r w:rsidR="001B3727" w:rsidRPr="001B3727">
        <w:rPr>
          <w:rFonts w:asciiTheme="majorHAnsi" w:hAnsiTheme="majorHAnsi" w:cs="AdvOT863180fb"/>
          <w:sz w:val="22"/>
        </w:rPr>
        <w:t xml:space="preserve"> (</w:t>
      </w:r>
      <w:proofErr w:type="spellStart"/>
      <w:r w:rsidR="001B3727" w:rsidRPr="001B3727">
        <w:rPr>
          <w:rFonts w:asciiTheme="majorHAnsi" w:hAnsiTheme="majorHAnsi" w:cs="AdvOT863180fb"/>
          <w:sz w:val="22"/>
        </w:rPr>
        <w:t>Horth</w:t>
      </w:r>
      <w:proofErr w:type="spellEnd"/>
      <w:r w:rsidR="001B3727" w:rsidRPr="001B3727">
        <w:rPr>
          <w:rFonts w:asciiTheme="majorHAnsi" w:hAnsiTheme="majorHAnsi" w:cs="AdvOT863180fb"/>
          <w:sz w:val="22"/>
        </w:rPr>
        <w:t>, 2012).</w:t>
      </w:r>
    </w:p>
    <w:p w:rsidR="00A5451F" w:rsidRPr="0040625D" w:rsidRDefault="00A5451F" w:rsidP="00A5451F">
      <w:pPr>
        <w:autoSpaceDE w:val="0"/>
        <w:autoSpaceDN w:val="0"/>
        <w:adjustRightInd w:val="0"/>
        <w:spacing w:after="0" w:line="240" w:lineRule="auto"/>
        <w:jc w:val="both"/>
        <w:rPr>
          <w:rFonts w:asciiTheme="majorHAnsi" w:hAnsiTheme="majorHAnsi" w:cs="AdvOT863180fb"/>
          <w:b/>
          <w:sz w:val="22"/>
        </w:rPr>
      </w:pPr>
    </w:p>
    <w:p w:rsidR="00AF4D61" w:rsidRPr="001B3727" w:rsidRDefault="001B3727" w:rsidP="001B3727">
      <w:pPr>
        <w:pStyle w:val="ListParagraph"/>
        <w:numPr>
          <w:ilvl w:val="0"/>
          <w:numId w:val="1"/>
        </w:numPr>
        <w:autoSpaceDE w:val="0"/>
        <w:autoSpaceDN w:val="0"/>
        <w:adjustRightInd w:val="0"/>
        <w:spacing w:after="0" w:line="240" w:lineRule="auto"/>
        <w:jc w:val="both"/>
        <w:rPr>
          <w:rFonts w:asciiTheme="majorHAnsi" w:hAnsiTheme="majorHAnsi" w:cs="AdvOT863180fb"/>
          <w:b/>
          <w:sz w:val="22"/>
        </w:rPr>
      </w:pPr>
      <w:r w:rsidRPr="001B3727">
        <w:rPr>
          <w:rFonts w:asciiTheme="majorHAnsi" w:hAnsiTheme="majorHAnsi" w:cs="AdvOT863180fb"/>
          <w:b/>
          <w:sz w:val="22"/>
        </w:rPr>
        <w:t xml:space="preserve">EU legislation </w:t>
      </w:r>
      <w:r>
        <w:rPr>
          <w:rFonts w:asciiTheme="majorHAnsi" w:hAnsiTheme="majorHAnsi" w:cs="AdvOT863180fb"/>
          <w:b/>
          <w:sz w:val="22"/>
        </w:rPr>
        <w:t xml:space="preserve">does not present </w:t>
      </w:r>
      <w:r w:rsidRPr="001B3727">
        <w:rPr>
          <w:rFonts w:asciiTheme="majorHAnsi" w:hAnsiTheme="majorHAnsi" w:cs="AdvOT863180fb"/>
          <w:b/>
          <w:sz w:val="22"/>
        </w:rPr>
        <w:t xml:space="preserve">environmental quality standards </w:t>
      </w:r>
      <w:r>
        <w:rPr>
          <w:rFonts w:asciiTheme="majorHAnsi" w:hAnsiTheme="majorHAnsi" w:cs="AdvOT863180fb"/>
          <w:b/>
          <w:sz w:val="22"/>
        </w:rPr>
        <w:t>for Glyphosate and AMPA in soil nor in surface water</w:t>
      </w:r>
      <w:r w:rsidRPr="001B3727">
        <w:rPr>
          <w:rFonts w:asciiTheme="majorHAnsi" w:hAnsiTheme="majorHAnsi" w:cs="AdvOT863180fb"/>
          <w:b/>
          <w:sz w:val="22"/>
        </w:rPr>
        <w:t xml:space="preserve"> (EC, 2013).</w:t>
      </w:r>
    </w:p>
    <w:p w:rsidR="00AF4D61" w:rsidRDefault="00AF4D61" w:rsidP="00AF4D61">
      <w:pPr>
        <w:autoSpaceDE w:val="0"/>
        <w:autoSpaceDN w:val="0"/>
        <w:adjustRightInd w:val="0"/>
        <w:spacing w:after="0" w:line="240" w:lineRule="auto"/>
        <w:jc w:val="both"/>
        <w:rPr>
          <w:rFonts w:asciiTheme="majorHAnsi" w:hAnsiTheme="majorHAnsi" w:cs="AdvOT863180fb"/>
          <w:b/>
          <w:sz w:val="22"/>
        </w:rPr>
      </w:pPr>
    </w:p>
    <w:p w:rsidR="000C7E7C" w:rsidRDefault="00AF4D61" w:rsidP="00AF4D61">
      <w:pPr>
        <w:autoSpaceDE w:val="0"/>
        <w:autoSpaceDN w:val="0"/>
        <w:adjustRightInd w:val="0"/>
        <w:spacing w:after="0" w:line="240" w:lineRule="auto"/>
        <w:jc w:val="both"/>
        <w:rPr>
          <w:rFonts w:asciiTheme="majorHAnsi" w:hAnsiTheme="majorHAnsi" w:cs="AdvOT863180fb"/>
          <w:sz w:val="22"/>
        </w:rPr>
      </w:pPr>
      <w:r w:rsidRPr="00AF4D61">
        <w:rPr>
          <w:rFonts w:asciiTheme="majorHAnsi" w:hAnsiTheme="majorHAnsi" w:cs="AdvOT863180fb"/>
          <w:sz w:val="22"/>
        </w:rPr>
        <w:lastRenderedPageBreak/>
        <w:t xml:space="preserve">Urgently target values are required for Glyphosate and AMPA in soils taking into consideration their potential negative effects on soil biodiversity, aquatic life and human exposure. Considering the high occurrence and persistence in soils and risks for the surrounding environment </w:t>
      </w:r>
      <w:r>
        <w:rPr>
          <w:rFonts w:asciiTheme="majorHAnsi" w:hAnsiTheme="majorHAnsi" w:cs="AdvOT863180fb"/>
          <w:sz w:val="22"/>
        </w:rPr>
        <w:t>the further approval for Glyphosate on the European market cannot be recommended.</w:t>
      </w:r>
    </w:p>
    <w:p w:rsidR="000D74AE" w:rsidRDefault="000D74AE" w:rsidP="00AF4D61">
      <w:pPr>
        <w:autoSpaceDE w:val="0"/>
        <w:autoSpaceDN w:val="0"/>
        <w:adjustRightInd w:val="0"/>
        <w:spacing w:after="0" w:line="240" w:lineRule="auto"/>
        <w:jc w:val="both"/>
        <w:rPr>
          <w:rFonts w:asciiTheme="majorHAnsi" w:hAnsiTheme="majorHAnsi" w:cs="AdvOT863180fb"/>
          <w:sz w:val="22"/>
        </w:rPr>
      </w:pPr>
    </w:p>
    <w:p w:rsidR="000D74AE" w:rsidRPr="00F12596" w:rsidRDefault="000D74AE" w:rsidP="000D74AE">
      <w:pPr>
        <w:pStyle w:val="EndNoteBibliography"/>
        <w:spacing w:after="0"/>
        <w:ind w:left="720" w:hanging="720"/>
        <w:rPr>
          <w:szCs w:val="16"/>
        </w:rPr>
      </w:pPr>
    </w:p>
    <w:p w:rsidR="000D74AE" w:rsidRDefault="000D74AE" w:rsidP="000D74AE">
      <w:pPr>
        <w:pStyle w:val="EndNoteBibliography"/>
        <w:spacing w:after="0"/>
        <w:ind w:left="720" w:hanging="720"/>
        <w:rPr>
          <w:szCs w:val="16"/>
          <w:lang w:val="nl-NL"/>
        </w:rPr>
      </w:pPr>
      <w:r>
        <w:rPr>
          <w:szCs w:val="16"/>
          <w:lang w:val="nl-NL"/>
        </w:rPr>
        <w:t>References</w:t>
      </w:r>
    </w:p>
    <w:p w:rsidR="000D74AE" w:rsidRPr="000D74AE" w:rsidRDefault="000D74AE" w:rsidP="000D74AE">
      <w:pPr>
        <w:pStyle w:val="EndNoteBibliography"/>
        <w:spacing w:after="0"/>
        <w:ind w:left="720" w:hanging="720"/>
        <w:rPr>
          <w:szCs w:val="16"/>
        </w:rPr>
      </w:pPr>
      <w:r w:rsidRPr="000D74AE">
        <w:rPr>
          <w:szCs w:val="16"/>
          <w:lang w:val="nl-NL"/>
        </w:rPr>
        <w:t xml:space="preserve">Bento CPM, Goossens D, Rezaei M, Riksen M, Mol HGJ, Ritsema CJ, et al. </w:t>
      </w:r>
      <w:r w:rsidRPr="000D74AE">
        <w:rPr>
          <w:szCs w:val="16"/>
        </w:rPr>
        <w:t>Glyphosate and AMPA distribution in wind-eroded sediment derived from loess soil. Environmental Pollution 2017; 220: 1079-1089.</w:t>
      </w:r>
    </w:p>
    <w:p w:rsidR="00A93F5C" w:rsidRPr="00A93F5C" w:rsidRDefault="000D74AE" w:rsidP="00A93F5C">
      <w:pPr>
        <w:pStyle w:val="EndNoteBibliography"/>
        <w:spacing w:after="0"/>
        <w:ind w:left="720" w:hanging="720"/>
        <w:rPr>
          <w:szCs w:val="16"/>
        </w:rPr>
      </w:pPr>
      <w:r w:rsidRPr="000D74AE">
        <w:rPr>
          <w:szCs w:val="16"/>
        </w:rPr>
        <w:t>Bento CPM, Yang X, Gort G, Xue S, van Dam R, Zomer P, et al. Persistence of glyphosate and aminomethylphosphonic acid in loess soil under different combinations of temperature, soil moisture and light/darkness. Science of The Total Environment 2016; 572: 301-311.</w:t>
      </w:r>
      <w:r w:rsidR="00A93F5C" w:rsidRPr="00A93F5C">
        <w:t xml:space="preserve"> </w:t>
      </w:r>
      <w:r w:rsidR="00A93F5C" w:rsidRPr="00A93F5C">
        <w:rPr>
          <w:szCs w:val="16"/>
        </w:rPr>
        <w:t>European Commission (EC). Directive 2013/39/EU of the European Parliament and of the Council of 12 August 2013 amending Directives 2000/60/EC and 2008/105/EC as regards priority substances in the field of water policy.  Official Journal of the European Union (OJ L 226327 of, 24.08.2013); http://eur-lex.europa.eu/legal-content/EN/TXT/PDF/?uri=CELEX:32013L0039&amp;from=EN (accessed July 10, 2017).</w:t>
      </w:r>
    </w:p>
    <w:p w:rsidR="00A93F5C" w:rsidRDefault="00A93F5C" w:rsidP="00A93F5C">
      <w:pPr>
        <w:pStyle w:val="EndNoteBibliography"/>
        <w:spacing w:after="0"/>
        <w:ind w:left="720" w:hanging="720"/>
        <w:rPr>
          <w:rFonts w:cs="Times New Roman"/>
          <w:bCs/>
          <w:szCs w:val="16"/>
        </w:rPr>
      </w:pPr>
      <w:r w:rsidRPr="00A93F5C">
        <w:rPr>
          <w:rFonts w:cs="Times New Roman"/>
          <w:bCs/>
          <w:szCs w:val="16"/>
        </w:rPr>
        <w:t>European Food Safety Authority (EFSA), Glyphosate Renewal Assessment Report of 18 December 2013. Rapporteur Member State (RMS): Germany, Co-RMS: Slovakia; available on request at http://dar.efsa.europa.eu/dar-web/provision (accessed July 10, 2017).</w:t>
      </w:r>
    </w:p>
    <w:p w:rsidR="00A93F5C" w:rsidRDefault="00A93F5C" w:rsidP="00A93F5C">
      <w:pPr>
        <w:pStyle w:val="EndNoteBibliography"/>
        <w:spacing w:after="0"/>
        <w:ind w:left="720" w:hanging="720"/>
        <w:rPr>
          <w:rFonts w:cs="Times New Roman"/>
          <w:bCs/>
          <w:szCs w:val="16"/>
        </w:rPr>
      </w:pPr>
      <w:r w:rsidRPr="00610D7C">
        <w:t>Horth, H. Survey of glyphosate and AMPA in groundwaters and surface waters in Europe – Update 2012</w:t>
      </w:r>
      <w:r>
        <w:t xml:space="preserve">; </w:t>
      </w:r>
      <w:hyperlink r:id="rId8" w:history="1">
        <w:r w:rsidRPr="00610D7C">
          <w:rPr>
            <w:rStyle w:val="Hyperlink"/>
          </w:rPr>
          <w:t>http://www.glyphosate.eu/system/files/mc-files/iia_7.12_07_horth_2012.pdf</w:t>
        </w:r>
      </w:hyperlink>
    </w:p>
    <w:p w:rsidR="00A93F5C" w:rsidRDefault="004C77B7" w:rsidP="00A93F5C">
      <w:pPr>
        <w:pStyle w:val="EndNoteBibliography"/>
        <w:spacing w:after="0"/>
        <w:ind w:left="720" w:hanging="720"/>
        <w:rPr>
          <w:bCs/>
          <w:kern w:val="28"/>
          <w:szCs w:val="16"/>
        </w:rPr>
      </w:pPr>
      <w:r>
        <w:rPr>
          <w:rFonts w:cs="Times New Roman"/>
          <w:bCs/>
          <w:szCs w:val="16"/>
        </w:rPr>
        <w:t>Geissen, V</w:t>
      </w:r>
      <w:bookmarkStart w:id="0" w:name="_GoBack"/>
      <w:bookmarkEnd w:id="0"/>
      <w:r w:rsidR="000D74AE">
        <w:rPr>
          <w:rFonts w:cs="Times New Roman"/>
          <w:bCs/>
          <w:szCs w:val="16"/>
        </w:rPr>
        <w:t xml:space="preserve">. et al. </w:t>
      </w:r>
      <w:r w:rsidR="000D74AE" w:rsidRPr="000D74AE">
        <w:rPr>
          <w:bCs/>
          <w:kern w:val="28"/>
          <w:szCs w:val="16"/>
        </w:rPr>
        <w:t xml:space="preserve"> Distribution of glyphosate and aminomethylphosphonic acid (AMPA) in agricultural topsoils of the European Union</w:t>
      </w:r>
      <w:r w:rsidR="000D74AE">
        <w:rPr>
          <w:bCs/>
          <w:kern w:val="28"/>
          <w:szCs w:val="16"/>
        </w:rPr>
        <w:t xml:space="preserve"> (revised version submitted to STOTEN)</w:t>
      </w:r>
    </w:p>
    <w:p w:rsidR="000D74AE" w:rsidRPr="000D74AE" w:rsidRDefault="000D74AE" w:rsidP="00A93F5C">
      <w:pPr>
        <w:pStyle w:val="EndNoteBibliography"/>
        <w:spacing w:after="0"/>
        <w:ind w:left="720" w:hanging="720"/>
        <w:rPr>
          <w:rFonts w:cs="AdvOT863180fb"/>
          <w:szCs w:val="16"/>
        </w:rPr>
      </w:pPr>
      <w:r w:rsidRPr="000D74AE">
        <w:rPr>
          <w:rFonts w:cs="AdvOT863180fb"/>
          <w:szCs w:val="16"/>
        </w:rPr>
        <w:t>Zuilhof, B. 2016:</w:t>
      </w:r>
      <w:r w:rsidRPr="000D74AE">
        <w:rPr>
          <w:szCs w:val="16"/>
        </w:rPr>
        <w:t xml:space="preserve"> </w:t>
      </w:r>
      <w:r w:rsidRPr="000D74AE">
        <w:rPr>
          <w:rFonts w:cs="AdvOT863180fb"/>
          <w:szCs w:val="16"/>
        </w:rPr>
        <w:t>Particle-facilitated transport of pesticide residues driven by soil erosion on vineyards in the Sao Lourenço sub-basin, Portugal. Master thesis, Utrecht University, The Netherlands.</w:t>
      </w:r>
    </w:p>
    <w:p w:rsidR="000D74AE" w:rsidRPr="00AF4D61" w:rsidRDefault="000D74AE" w:rsidP="00AF4D61">
      <w:pPr>
        <w:autoSpaceDE w:val="0"/>
        <w:autoSpaceDN w:val="0"/>
        <w:adjustRightInd w:val="0"/>
        <w:spacing w:after="0" w:line="240" w:lineRule="auto"/>
        <w:jc w:val="both"/>
        <w:rPr>
          <w:rFonts w:asciiTheme="majorHAnsi" w:hAnsiTheme="majorHAnsi" w:cs="AdvOT863180fb"/>
          <w:sz w:val="22"/>
        </w:rPr>
      </w:pPr>
    </w:p>
    <w:p w:rsidR="00AF4D61" w:rsidRPr="00AF4D61" w:rsidRDefault="00AF4D61" w:rsidP="00AF4D61">
      <w:pPr>
        <w:autoSpaceDE w:val="0"/>
        <w:autoSpaceDN w:val="0"/>
        <w:adjustRightInd w:val="0"/>
        <w:spacing w:after="0" w:line="240" w:lineRule="auto"/>
        <w:jc w:val="both"/>
        <w:rPr>
          <w:rFonts w:asciiTheme="majorHAnsi" w:hAnsiTheme="majorHAnsi" w:cs="AdvOT863180fb"/>
          <w:sz w:val="22"/>
        </w:rPr>
      </w:pPr>
    </w:p>
    <w:p w:rsidR="006315D5" w:rsidRPr="0040625D" w:rsidRDefault="006315D5" w:rsidP="00A32BC4">
      <w:pPr>
        <w:autoSpaceDE w:val="0"/>
        <w:autoSpaceDN w:val="0"/>
        <w:adjustRightInd w:val="0"/>
        <w:spacing w:after="0" w:line="240" w:lineRule="auto"/>
        <w:jc w:val="both"/>
        <w:rPr>
          <w:rFonts w:asciiTheme="majorHAnsi" w:hAnsiTheme="majorHAnsi" w:cs="AdvOT863180fb"/>
          <w:sz w:val="22"/>
        </w:rPr>
      </w:pPr>
    </w:p>
    <w:p w:rsidR="006315D5" w:rsidRPr="0040625D" w:rsidRDefault="006315D5" w:rsidP="00A32BC4">
      <w:pPr>
        <w:autoSpaceDE w:val="0"/>
        <w:autoSpaceDN w:val="0"/>
        <w:adjustRightInd w:val="0"/>
        <w:spacing w:after="0" w:line="240" w:lineRule="auto"/>
        <w:jc w:val="both"/>
        <w:rPr>
          <w:rFonts w:asciiTheme="majorHAnsi" w:hAnsiTheme="majorHAnsi" w:cs="AdvOT863180fb"/>
          <w:sz w:val="22"/>
        </w:rPr>
      </w:pPr>
    </w:p>
    <w:p w:rsidR="006315D5" w:rsidRPr="0040625D" w:rsidRDefault="006315D5" w:rsidP="00A32BC4">
      <w:pPr>
        <w:autoSpaceDE w:val="0"/>
        <w:autoSpaceDN w:val="0"/>
        <w:adjustRightInd w:val="0"/>
        <w:spacing w:after="0" w:line="240" w:lineRule="auto"/>
        <w:jc w:val="both"/>
        <w:rPr>
          <w:rFonts w:asciiTheme="majorHAnsi" w:hAnsiTheme="majorHAnsi" w:cs="AdvOT863180fb"/>
          <w:sz w:val="22"/>
        </w:rPr>
      </w:pPr>
    </w:p>
    <w:p w:rsidR="006315D5" w:rsidRPr="0040625D" w:rsidRDefault="006315D5" w:rsidP="00A32BC4">
      <w:pPr>
        <w:autoSpaceDE w:val="0"/>
        <w:autoSpaceDN w:val="0"/>
        <w:adjustRightInd w:val="0"/>
        <w:spacing w:after="0" w:line="240" w:lineRule="auto"/>
        <w:jc w:val="both"/>
        <w:rPr>
          <w:rFonts w:asciiTheme="majorHAnsi" w:hAnsiTheme="majorHAnsi" w:cs="AdvOT863180fb"/>
          <w:sz w:val="22"/>
        </w:rPr>
      </w:pPr>
    </w:p>
    <w:sectPr w:rsidR="006315D5" w:rsidRPr="0040625D" w:rsidSect="000D74A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51D" w:rsidRDefault="00A0451D" w:rsidP="00666FA4">
      <w:pPr>
        <w:spacing w:after="0" w:line="240" w:lineRule="auto"/>
      </w:pPr>
      <w:r>
        <w:separator/>
      </w:r>
    </w:p>
  </w:endnote>
  <w:endnote w:type="continuationSeparator" w:id="0">
    <w:p w:rsidR="00A0451D" w:rsidRDefault="00A0451D" w:rsidP="0066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dvOT863180fb">
    <w:altName w:val="Cambria"/>
    <w:panose1 w:val="00000000000000000000"/>
    <w:charset w:val="00"/>
    <w:family w:val="roman"/>
    <w:notTrueType/>
    <w:pitch w:val="default"/>
    <w:sig w:usb0="00000003" w:usb1="00000000" w:usb2="00000000" w:usb3="00000000" w:csb0="00000001" w:csb1="00000000"/>
  </w:font>
  <w:font w:name="AdvOTb0c9bf5d">
    <w:panose1 w:val="00000000000000000000"/>
    <w:charset w:val="00"/>
    <w:family w:val="swiss"/>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51D" w:rsidRDefault="00A0451D" w:rsidP="00666FA4">
      <w:pPr>
        <w:spacing w:after="0" w:line="240" w:lineRule="auto"/>
      </w:pPr>
      <w:r>
        <w:separator/>
      </w:r>
    </w:p>
  </w:footnote>
  <w:footnote w:type="continuationSeparator" w:id="0">
    <w:p w:rsidR="00A0451D" w:rsidRDefault="00A0451D" w:rsidP="00666FA4">
      <w:pPr>
        <w:spacing w:after="0" w:line="240" w:lineRule="auto"/>
      </w:pPr>
      <w:r>
        <w:continuationSeparator/>
      </w:r>
    </w:p>
  </w:footnote>
  <w:footnote w:id="1">
    <w:p w:rsidR="00666FA4" w:rsidRDefault="00666FA4" w:rsidP="00666FA4">
      <w:pPr>
        <w:pStyle w:val="FootnoteText"/>
      </w:pPr>
      <w:r>
        <w:rPr>
          <w:rStyle w:val="FootnoteReference"/>
        </w:rPr>
        <w:footnoteRef/>
      </w:r>
      <w:r>
        <w:t xml:space="preserve"> Soil Physics and Land Management Group, Wageningen University &amp; Research, </w:t>
      </w:r>
      <w:proofErr w:type="spellStart"/>
      <w:r>
        <w:t>Droevendaalsesteeg</w:t>
      </w:r>
      <w:proofErr w:type="spellEnd"/>
      <w:r>
        <w:t xml:space="preserve"> 4, 6708 PB Wageningen, The Netherlands. </w:t>
      </w:r>
      <w:r w:rsidRPr="00666FA4">
        <w:t xml:space="preserve">Email address: </w:t>
      </w:r>
      <w:hyperlink r:id="rId1" w:tgtFrame="_blank" w:history="1">
        <w:r w:rsidR="004C77B7">
          <w:rPr>
            <w:rStyle w:val="Hyperlink"/>
            <w:rFonts w:ascii="Calibri" w:hAnsi="Calibri" w:cs="Calibri"/>
            <w:color w:val="1155CC"/>
            <w:sz w:val="22"/>
            <w:szCs w:val="22"/>
            <w:shd w:val="clear" w:color="auto" w:fill="FFFFFF"/>
          </w:rPr>
          <w:t>violette.geissen@wur.nl</w:t>
        </w:r>
      </w:hyperlink>
      <w:r w:rsidR="004C77B7">
        <w:t xml:space="preserve"> (V. </w:t>
      </w:r>
      <w:proofErr w:type="spellStart"/>
      <w:r w:rsidR="004C77B7">
        <w:t>Geissen</w:t>
      </w:r>
      <w:proofErr w:type="spellEnd"/>
      <w:r w:rsidR="004C77B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712E1"/>
    <w:multiLevelType w:val="hybridMultilevel"/>
    <w:tmpl w:val="ED0C772A"/>
    <w:lvl w:ilvl="0" w:tplc="E5047F60">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C4"/>
    <w:rsid w:val="00012BC1"/>
    <w:rsid w:val="000C7E7C"/>
    <w:rsid w:val="000D74AE"/>
    <w:rsid w:val="00157089"/>
    <w:rsid w:val="001B3727"/>
    <w:rsid w:val="00212BB7"/>
    <w:rsid w:val="002D41DD"/>
    <w:rsid w:val="0040625D"/>
    <w:rsid w:val="00451C8F"/>
    <w:rsid w:val="00466F55"/>
    <w:rsid w:val="004C77B7"/>
    <w:rsid w:val="006315D5"/>
    <w:rsid w:val="00666FA4"/>
    <w:rsid w:val="00A01F2E"/>
    <w:rsid w:val="00A0451D"/>
    <w:rsid w:val="00A32BC4"/>
    <w:rsid w:val="00A5451F"/>
    <w:rsid w:val="00A93F5C"/>
    <w:rsid w:val="00AF4D61"/>
    <w:rsid w:val="00B141A9"/>
    <w:rsid w:val="00BE27C2"/>
    <w:rsid w:val="00BE69BC"/>
    <w:rsid w:val="00D11CC8"/>
    <w:rsid w:val="00F12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D6CF"/>
  <w15:chartTrackingRefBased/>
  <w15:docId w15:val="{B62E8160-94E3-4AC1-A19F-0FF903BA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F55"/>
    <w:pPr>
      <w:ind w:left="720"/>
      <w:contextualSpacing/>
    </w:pPr>
  </w:style>
  <w:style w:type="paragraph" w:customStyle="1" w:styleId="EndNoteBibliography">
    <w:name w:val="EndNote Bibliography"/>
    <w:basedOn w:val="Normal"/>
    <w:link w:val="EndNoteBibliographyChar"/>
    <w:rsid w:val="000D74AE"/>
    <w:pPr>
      <w:spacing w:after="160" w:line="240" w:lineRule="auto"/>
    </w:pPr>
    <w:rPr>
      <w:rFonts w:eastAsiaTheme="minorEastAsia"/>
      <w:noProof/>
      <w:sz w:val="16"/>
      <w:lang w:eastAsia="zh-CN"/>
    </w:rPr>
  </w:style>
  <w:style w:type="character" w:customStyle="1" w:styleId="EndNoteBibliographyChar">
    <w:name w:val="EndNote Bibliography Char"/>
    <w:basedOn w:val="DefaultParagraphFont"/>
    <w:link w:val="EndNoteBibliography"/>
    <w:rsid w:val="000D74AE"/>
    <w:rPr>
      <w:rFonts w:eastAsiaTheme="minorEastAsia"/>
      <w:noProof/>
      <w:sz w:val="16"/>
      <w:lang w:eastAsia="zh-CN"/>
    </w:rPr>
  </w:style>
  <w:style w:type="character" w:styleId="Hyperlink">
    <w:name w:val="Hyperlink"/>
    <w:basedOn w:val="DefaultParagraphFont"/>
    <w:uiPriority w:val="99"/>
    <w:rsid w:val="00A93F5C"/>
    <w:rPr>
      <w:color w:val="0000FF"/>
      <w:u w:val="single"/>
    </w:rPr>
  </w:style>
  <w:style w:type="paragraph" w:styleId="FootnoteText">
    <w:name w:val="footnote text"/>
    <w:basedOn w:val="Normal"/>
    <w:link w:val="FootnoteTextChar"/>
    <w:uiPriority w:val="99"/>
    <w:semiHidden/>
    <w:unhideWhenUsed/>
    <w:rsid w:val="00666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FA4"/>
    <w:rPr>
      <w:sz w:val="20"/>
      <w:szCs w:val="20"/>
    </w:rPr>
  </w:style>
  <w:style w:type="character" w:styleId="FootnoteReference">
    <w:name w:val="footnote reference"/>
    <w:basedOn w:val="DefaultParagraphFont"/>
    <w:uiPriority w:val="99"/>
    <w:semiHidden/>
    <w:unhideWhenUsed/>
    <w:rsid w:val="00666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yphosate.eu/system/files/mc-files/iia_7.12_07_horth_201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violette.geissen@w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4C407-A7E7-442E-94D7-E425994C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Geissen, Violette</dc:creator>
  <cp:keywords/>
  <dc:description/>
  <cp:lastModifiedBy>Elisa Mussio</cp:lastModifiedBy>
  <cp:revision>2</cp:revision>
  <dcterms:created xsi:type="dcterms:W3CDTF">2017-10-16T09:18:00Z</dcterms:created>
  <dcterms:modified xsi:type="dcterms:W3CDTF">2017-10-16T09:18:00Z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